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28"/>
          <w:szCs w:val="28"/>
          <w:lang w:val="en-GB"/>
        </w:rPr>
      </w:pPr>
      <w:r>
        <w:rPr>
          <w:rFonts w:ascii="仿宋" w:hAnsi="仿宋" w:eastAsia="仿宋"/>
          <w:b/>
          <w:sz w:val="28"/>
          <w:szCs w:val="28"/>
          <w:lang w:val="en-GB"/>
        </w:rPr>
        <w:t>2019</w:t>
      </w:r>
      <w:r>
        <w:rPr>
          <w:rFonts w:hint="eastAsia" w:ascii="仿宋" w:hAnsi="仿宋" w:eastAsia="仿宋"/>
          <w:b/>
          <w:sz w:val="28"/>
          <w:szCs w:val="28"/>
          <w:lang w:val="en-GB"/>
        </w:rPr>
        <w:t>年</w:t>
      </w:r>
      <w:r>
        <w:rPr>
          <w:rFonts w:ascii="仿宋" w:hAnsi="仿宋" w:eastAsia="仿宋"/>
          <w:b/>
          <w:sz w:val="28"/>
          <w:szCs w:val="28"/>
          <w:lang w:val="en-GB"/>
        </w:rPr>
        <w:t>赛格德大学暑期项目</w:t>
      </w:r>
      <w:r>
        <w:rPr>
          <w:rFonts w:hint="eastAsia" w:ascii="仿宋" w:hAnsi="仿宋" w:eastAsia="仿宋"/>
          <w:b/>
          <w:sz w:val="28"/>
          <w:szCs w:val="28"/>
          <w:lang w:val="en-GB"/>
        </w:rPr>
        <w:t xml:space="preserve"> </w:t>
      </w:r>
    </w:p>
    <w:p>
      <w:pPr>
        <w:rPr>
          <w:rFonts w:ascii="Times New Roman" w:hAnsi="Times New Roman" w:eastAsia="仿宋" w:cs="Times New Roman"/>
          <w:sz w:val="24"/>
          <w:szCs w:val="24"/>
        </w:rPr>
      </w:pPr>
      <w:r>
        <w:rPr>
          <w:rFonts w:ascii="仿宋" w:hAnsi="仿宋" w:eastAsia="仿宋"/>
          <w:b/>
          <w:sz w:val="24"/>
          <w:szCs w:val="24"/>
          <w:lang w:val="en-GB"/>
        </w:rPr>
        <w:t>项目主题：</w:t>
      </w:r>
      <w:r>
        <w:rPr>
          <w:rFonts w:hint="eastAsia" w:ascii="仿宋" w:hAnsi="仿宋" w:eastAsia="仿宋"/>
          <w:sz w:val="24"/>
          <w:szCs w:val="24"/>
        </w:rPr>
        <w:t>欧盟与</w:t>
      </w:r>
      <w:r>
        <w:rPr>
          <w:rFonts w:ascii="仿宋" w:hAnsi="仿宋" w:eastAsia="仿宋"/>
          <w:sz w:val="24"/>
          <w:szCs w:val="24"/>
        </w:rPr>
        <w:t>中东欧国家经济</w:t>
      </w:r>
      <w:r>
        <w:rPr>
          <w:rFonts w:ascii="Times New Roman" w:hAnsi="Times New Roman" w:eastAsia="仿宋" w:cs="Times New Roman"/>
          <w:sz w:val="24"/>
          <w:szCs w:val="24"/>
          <w:lang w:val="en-GB"/>
        </w:rPr>
        <w:t>Europe, Central and Eastern Europe (CEE) Economy</w:t>
      </w:r>
    </w:p>
    <w:p>
      <w:pPr>
        <w:rPr>
          <w:rFonts w:ascii="仿宋" w:hAnsi="仿宋" w:eastAsia="仿宋" w:cs="宋体"/>
          <w:sz w:val="24"/>
          <w:szCs w:val="24"/>
        </w:rPr>
      </w:pPr>
      <w:r>
        <w:rPr>
          <w:rFonts w:ascii="仿宋" w:hAnsi="仿宋" w:eastAsia="仿宋"/>
          <w:b/>
          <w:sz w:val="24"/>
          <w:szCs w:val="24"/>
        </w:rPr>
        <w:t>学校简介：</w:t>
      </w:r>
      <w:r>
        <w:rPr>
          <w:rFonts w:hint="eastAsia" w:ascii="仿宋" w:hAnsi="仿宋" w:eastAsia="仿宋" w:cs="宋体"/>
          <w:sz w:val="24"/>
          <w:szCs w:val="24"/>
        </w:rPr>
        <w:t>赛格德</w:t>
      </w:r>
      <w:r>
        <w:rPr>
          <w:rFonts w:ascii="仿宋" w:hAnsi="仿宋" w:eastAsia="仿宋" w:cs="宋体"/>
          <w:sz w:val="24"/>
          <w:szCs w:val="24"/>
        </w:rPr>
        <w:t>大学</w:t>
      </w:r>
      <w:r>
        <w:rPr>
          <w:rFonts w:ascii="仿宋" w:hAnsi="仿宋" w:eastAsia="仿宋" w:cs="Times New Roman"/>
          <w:sz w:val="24"/>
          <w:szCs w:val="24"/>
        </w:rPr>
        <w:t>（University of Szeged）</w:t>
      </w:r>
      <w:r>
        <w:rPr>
          <w:rFonts w:ascii="仿宋" w:hAnsi="仿宋" w:eastAsia="仿宋" w:cs="宋体"/>
          <w:sz w:val="24"/>
          <w:szCs w:val="24"/>
        </w:rPr>
        <w:t>，</w:t>
      </w:r>
      <w:r>
        <w:rPr>
          <w:rFonts w:hint="eastAsia" w:ascii="仿宋" w:hAnsi="仿宋" w:eastAsia="仿宋" w:cs="宋体"/>
          <w:sz w:val="24"/>
          <w:szCs w:val="24"/>
        </w:rPr>
        <w:t>始建于</w:t>
      </w:r>
      <w:r>
        <w:rPr>
          <w:rFonts w:ascii="仿宋" w:hAnsi="仿宋" w:eastAsia="仿宋" w:cs="宋体"/>
          <w:sz w:val="24"/>
          <w:szCs w:val="24"/>
        </w:rPr>
        <w:t>1581年，位于匈牙利第三大城市——</w:t>
      </w:r>
      <w:r>
        <w:rPr>
          <w:rFonts w:hint="eastAsia" w:ascii="仿宋" w:hAnsi="仿宋" w:eastAsia="仿宋" w:cs="宋体"/>
          <w:sz w:val="24"/>
          <w:szCs w:val="24"/>
        </w:rPr>
        <w:t>赛</w:t>
      </w:r>
      <w:r>
        <w:rPr>
          <w:rFonts w:ascii="仿宋" w:hAnsi="仿宋" w:eastAsia="仿宋" w:cs="宋体"/>
          <w:sz w:val="24"/>
          <w:szCs w:val="24"/>
        </w:rPr>
        <w:t>格德</w:t>
      </w:r>
      <w:r>
        <w:rPr>
          <w:rFonts w:hint="eastAsia" w:ascii="仿宋" w:hAnsi="仿宋" w:eastAsia="仿宋" w:cs="宋体"/>
          <w:sz w:val="24"/>
          <w:szCs w:val="24"/>
        </w:rPr>
        <w:t>，</w:t>
      </w:r>
      <w:r>
        <w:rPr>
          <w:rFonts w:ascii="仿宋" w:hAnsi="仿宋" w:eastAsia="仿宋" w:cs="宋体"/>
          <w:sz w:val="24"/>
          <w:szCs w:val="24"/>
        </w:rPr>
        <w:t>是匈牙利</w:t>
      </w:r>
      <w:r>
        <w:rPr>
          <w:rFonts w:hint="eastAsia" w:ascii="仿宋" w:hAnsi="仿宋" w:eastAsia="仿宋" w:cs="宋体"/>
          <w:sz w:val="24"/>
          <w:szCs w:val="24"/>
        </w:rPr>
        <w:t>顶尖</w:t>
      </w:r>
      <w:r>
        <w:rPr>
          <w:rFonts w:ascii="仿宋" w:hAnsi="仿宋" w:eastAsia="仿宋" w:cs="宋体"/>
          <w:sz w:val="24"/>
          <w:szCs w:val="24"/>
        </w:rPr>
        <w:t>的国立综合研究型大学</w:t>
      </w:r>
      <w:r>
        <w:rPr>
          <w:rFonts w:hint="eastAsia" w:ascii="仿宋" w:hAnsi="仿宋" w:eastAsia="仿宋" w:cs="宋体"/>
          <w:sz w:val="24"/>
          <w:szCs w:val="24"/>
        </w:rPr>
        <w:t>和欧洲</w:t>
      </w:r>
      <w:r>
        <w:rPr>
          <w:rFonts w:ascii="仿宋" w:hAnsi="仿宋" w:eastAsia="仿宋" w:cs="宋体"/>
          <w:sz w:val="24"/>
          <w:szCs w:val="24"/>
        </w:rPr>
        <w:t>最突出的高等教育机构之一。</w:t>
      </w:r>
      <w:r>
        <w:rPr>
          <w:rFonts w:hint="eastAsia" w:ascii="仿宋" w:hAnsi="仿宋" w:eastAsia="仿宋" w:cs="宋体"/>
          <w:sz w:val="24"/>
          <w:szCs w:val="24"/>
        </w:rPr>
        <w:t>作为</w:t>
      </w:r>
      <w:r>
        <w:rPr>
          <w:rFonts w:ascii="仿宋" w:hAnsi="仿宋" w:eastAsia="仿宋" w:cs="宋体"/>
          <w:sz w:val="24"/>
          <w:szCs w:val="24"/>
        </w:rPr>
        <w:t>匈牙利国内排名第一的学校，</w:t>
      </w:r>
      <w:r>
        <w:rPr>
          <w:rFonts w:hint="eastAsia" w:ascii="仿宋" w:hAnsi="仿宋" w:eastAsia="仿宋" w:cs="宋体"/>
          <w:sz w:val="24"/>
          <w:szCs w:val="24"/>
        </w:rPr>
        <w:t>赛格德</w:t>
      </w:r>
      <w:r>
        <w:rPr>
          <w:rFonts w:ascii="仿宋" w:hAnsi="仿宋" w:eastAsia="仿宋" w:cs="宋体"/>
          <w:sz w:val="24"/>
          <w:szCs w:val="24"/>
        </w:rPr>
        <w:t>大学</w:t>
      </w:r>
      <w:r>
        <w:rPr>
          <w:rFonts w:hint="eastAsia" w:ascii="仿宋" w:hAnsi="仿宋" w:eastAsia="仿宋" w:cs="宋体"/>
          <w:sz w:val="24"/>
          <w:szCs w:val="24"/>
        </w:rPr>
        <w:t>还</w:t>
      </w:r>
      <w:r>
        <w:rPr>
          <w:rFonts w:ascii="仿宋" w:hAnsi="仿宋" w:eastAsia="仿宋" w:cs="宋体"/>
          <w:sz w:val="24"/>
          <w:szCs w:val="24"/>
        </w:rPr>
        <w:t>被评为</w:t>
      </w:r>
      <w:r>
        <w:rPr>
          <w:rFonts w:hint="eastAsia" w:ascii="仿宋" w:hAnsi="仿宋" w:eastAsia="仿宋" w:cs="宋体"/>
          <w:sz w:val="24"/>
          <w:szCs w:val="24"/>
        </w:rPr>
        <w:t>E</w:t>
      </w:r>
      <w:r>
        <w:rPr>
          <w:rFonts w:ascii="仿宋" w:hAnsi="仿宋" w:eastAsia="仿宋" w:cs="宋体"/>
          <w:sz w:val="24"/>
          <w:szCs w:val="24"/>
        </w:rPr>
        <w:t>rasmus+</w:t>
      </w:r>
      <w:r>
        <w:rPr>
          <w:rFonts w:hint="eastAsia" w:ascii="仿宋" w:hAnsi="仿宋" w:eastAsia="仿宋" w:cs="宋体"/>
          <w:sz w:val="24"/>
          <w:szCs w:val="24"/>
        </w:rPr>
        <w:t>最佳10所大学之一</w:t>
      </w:r>
      <w:r>
        <w:rPr>
          <w:rFonts w:ascii="仿宋" w:hAnsi="仿宋" w:eastAsia="仿宋" w:cs="宋体"/>
          <w:sz w:val="24"/>
          <w:szCs w:val="24"/>
        </w:rPr>
        <w:t>，</w:t>
      </w:r>
      <w:r>
        <w:rPr>
          <w:rFonts w:hint="eastAsia" w:ascii="仿宋" w:hAnsi="仿宋" w:eastAsia="仿宋" w:cs="宋体"/>
          <w:sz w:val="24"/>
          <w:szCs w:val="24"/>
        </w:rPr>
        <w:t>现有</w:t>
      </w:r>
      <w:r>
        <w:rPr>
          <w:rFonts w:ascii="仿宋" w:hAnsi="仿宋" w:eastAsia="仿宋" w:cs="宋体"/>
          <w:sz w:val="24"/>
          <w:szCs w:val="24"/>
        </w:rPr>
        <w:t>在校学生3万余人，设有农学院、</w:t>
      </w:r>
      <w:r>
        <w:rPr>
          <w:rFonts w:hint="eastAsia" w:ascii="仿宋" w:hAnsi="仿宋" w:eastAsia="仿宋" w:cs="宋体"/>
          <w:sz w:val="24"/>
          <w:szCs w:val="24"/>
        </w:rPr>
        <w:t>人文社科</w:t>
      </w:r>
      <w:r>
        <w:rPr>
          <w:rFonts w:ascii="仿宋" w:hAnsi="仿宋" w:eastAsia="仿宋" w:cs="宋体"/>
          <w:sz w:val="24"/>
          <w:szCs w:val="24"/>
        </w:rPr>
        <w:t>学院、牙科</w:t>
      </w:r>
      <w:r>
        <w:rPr>
          <w:rFonts w:hint="eastAsia" w:ascii="仿宋" w:hAnsi="仿宋" w:eastAsia="仿宋" w:cs="宋体"/>
          <w:sz w:val="24"/>
          <w:szCs w:val="24"/>
        </w:rPr>
        <w:t>医</w:t>
      </w:r>
      <w:r>
        <w:rPr>
          <w:rFonts w:ascii="仿宋" w:hAnsi="仿宋" w:eastAsia="仿宋" w:cs="宋体"/>
          <w:sz w:val="24"/>
          <w:szCs w:val="24"/>
        </w:rPr>
        <w:t>学院、</w:t>
      </w:r>
      <w:r>
        <w:rPr>
          <w:rFonts w:hint="eastAsia" w:ascii="仿宋" w:hAnsi="仿宋" w:eastAsia="仿宋" w:cs="宋体"/>
          <w:sz w:val="24"/>
          <w:szCs w:val="24"/>
        </w:rPr>
        <w:t>经管</w:t>
      </w:r>
      <w:r>
        <w:rPr>
          <w:rFonts w:ascii="仿宋" w:hAnsi="仿宋" w:eastAsia="仿宋" w:cs="宋体"/>
          <w:sz w:val="24"/>
          <w:szCs w:val="24"/>
        </w:rPr>
        <w:t>学院、工程学院、健康科学及社会研究学院、法学院、医学院、音乐学院、</w:t>
      </w:r>
      <w:r>
        <w:rPr>
          <w:rFonts w:hint="eastAsia" w:ascii="仿宋" w:hAnsi="仿宋" w:eastAsia="仿宋" w:cs="宋体"/>
          <w:sz w:val="24"/>
          <w:szCs w:val="24"/>
        </w:rPr>
        <w:t>药剂</w:t>
      </w:r>
      <w:r>
        <w:rPr>
          <w:rFonts w:ascii="仿宋" w:hAnsi="仿宋" w:eastAsia="仿宋" w:cs="宋体"/>
          <w:sz w:val="24"/>
          <w:szCs w:val="24"/>
        </w:rPr>
        <w:t>学院、信息科学学院和</w:t>
      </w:r>
      <w:r>
        <w:rPr>
          <w:rFonts w:hint="eastAsia" w:ascii="仿宋" w:hAnsi="仿宋" w:eastAsia="仿宋" w:cs="宋体"/>
          <w:sz w:val="24"/>
          <w:szCs w:val="24"/>
        </w:rPr>
        <w:t>教育</w:t>
      </w:r>
      <w:r>
        <w:rPr>
          <w:rFonts w:ascii="仿宋" w:hAnsi="仿宋" w:eastAsia="仿宋" w:cs="宋体"/>
          <w:sz w:val="24"/>
          <w:szCs w:val="24"/>
        </w:rPr>
        <w:t>学院共12个学院，</w:t>
      </w:r>
      <w:r>
        <w:rPr>
          <w:rFonts w:hint="eastAsia" w:ascii="仿宋" w:hAnsi="仿宋" w:eastAsia="仿宋" w:cs="宋体"/>
          <w:sz w:val="24"/>
          <w:szCs w:val="24"/>
        </w:rPr>
        <w:t>下</w:t>
      </w:r>
      <w:r>
        <w:rPr>
          <w:rFonts w:ascii="仿宋" w:hAnsi="仿宋" w:eastAsia="仿宋" w:cs="宋体"/>
          <w:sz w:val="24"/>
          <w:szCs w:val="24"/>
        </w:rPr>
        <w:t>设134个本科、硕士</w:t>
      </w:r>
      <w:r>
        <w:rPr>
          <w:rFonts w:hint="eastAsia" w:ascii="仿宋" w:hAnsi="仿宋" w:eastAsia="仿宋" w:cs="宋体"/>
          <w:sz w:val="24"/>
          <w:szCs w:val="24"/>
        </w:rPr>
        <w:t>和</w:t>
      </w:r>
      <w:r>
        <w:rPr>
          <w:rFonts w:ascii="仿宋" w:hAnsi="仿宋" w:eastAsia="仿宋" w:cs="宋体"/>
          <w:sz w:val="24"/>
          <w:szCs w:val="24"/>
        </w:rPr>
        <w:t>博士</w:t>
      </w:r>
      <w:r>
        <w:rPr>
          <w:rFonts w:hint="eastAsia" w:ascii="仿宋" w:hAnsi="仿宋" w:eastAsia="仿宋" w:cs="宋体"/>
          <w:sz w:val="24"/>
          <w:szCs w:val="24"/>
        </w:rPr>
        <w:t>课程</w:t>
      </w:r>
      <w:r>
        <w:rPr>
          <w:rFonts w:ascii="仿宋" w:hAnsi="仿宋" w:eastAsia="仿宋" w:cs="宋体"/>
          <w:sz w:val="24"/>
          <w:szCs w:val="24"/>
        </w:rPr>
        <w:t>。</w:t>
      </w:r>
      <w:r>
        <w:rPr>
          <w:rFonts w:hint="eastAsia" w:ascii="仿宋" w:hAnsi="仿宋" w:eastAsia="仿宋" w:cs="宋体"/>
          <w:sz w:val="24"/>
          <w:szCs w:val="24"/>
        </w:rPr>
        <w:t>自</w:t>
      </w:r>
      <w:r>
        <w:rPr>
          <w:rFonts w:ascii="仿宋" w:hAnsi="仿宋" w:eastAsia="仿宋" w:cs="宋体"/>
          <w:sz w:val="24"/>
          <w:szCs w:val="24"/>
        </w:rPr>
        <w:t>建校以来，学校</w:t>
      </w:r>
      <w:r>
        <w:rPr>
          <w:rFonts w:hint="eastAsia" w:ascii="仿宋" w:hAnsi="仿宋" w:eastAsia="仿宋" w:cs="宋体"/>
          <w:sz w:val="24"/>
          <w:szCs w:val="24"/>
        </w:rPr>
        <w:t>致力于学科发展</w:t>
      </w:r>
      <w:r>
        <w:rPr>
          <w:rFonts w:ascii="仿宋" w:hAnsi="仿宋" w:eastAsia="仿宋" w:cs="宋体"/>
          <w:sz w:val="24"/>
          <w:szCs w:val="24"/>
        </w:rPr>
        <w:t>、国际</w:t>
      </w:r>
      <w:r>
        <w:rPr>
          <w:rFonts w:hint="eastAsia" w:ascii="仿宋" w:hAnsi="仿宋" w:eastAsia="仿宋" w:cs="宋体"/>
          <w:sz w:val="24"/>
          <w:szCs w:val="24"/>
        </w:rPr>
        <w:t>交流</w:t>
      </w:r>
      <w:r>
        <w:rPr>
          <w:rFonts w:ascii="仿宋" w:hAnsi="仿宋" w:eastAsia="仿宋" w:cs="宋体"/>
          <w:sz w:val="24"/>
          <w:szCs w:val="24"/>
        </w:rPr>
        <w:t>、</w:t>
      </w:r>
      <w:r>
        <w:rPr>
          <w:rFonts w:hint="eastAsia" w:ascii="仿宋" w:hAnsi="仿宋" w:eastAsia="仿宋" w:cs="宋体"/>
          <w:sz w:val="24"/>
          <w:szCs w:val="24"/>
        </w:rPr>
        <w:t>科研</w:t>
      </w:r>
      <w:r>
        <w:rPr>
          <w:rFonts w:ascii="仿宋" w:hAnsi="仿宋" w:eastAsia="仿宋" w:cs="宋体"/>
          <w:sz w:val="24"/>
          <w:szCs w:val="24"/>
        </w:rPr>
        <w:t>及校企合作，培养</w:t>
      </w:r>
      <w:r>
        <w:rPr>
          <w:rFonts w:hint="eastAsia" w:ascii="仿宋" w:hAnsi="仿宋" w:eastAsia="仿宋" w:cs="宋体"/>
          <w:sz w:val="24"/>
          <w:szCs w:val="24"/>
        </w:rPr>
        <w:t>出</w:t>
      </w:r>
      <w:r>
        <w:rPr>
          <w:rFonts w:ascii="仿宋" w:hAnsi="仿宋" w:eastAsia="仿宋" w:cs="宋体"/>
          <w:sz w:val="24"/>
          <w:szCs w:val="24"/>
        </w:rPr>
        <w:t>了包括</w:t>
      </w:r>
      <w:r>
        <w:rPr>
          <w:rFonts w:hint="eastAsia" w:ascii="仿宋" w:hAnsi="仿宋" w:eastAsia="仿宋" w:cs="宋体"/>
          <w:sz w:val="24"/>
          <w:szCs w:val="24"/>
        </w:rPr>
        <w:t>诺贝尔</w:t>
      </w:r>
      <w:r>
        <w:rPr>
          <w:rFonts w:ascii="仿宋" w:hAnsi="仿宋" w:eastAsia="仿宋" w:cs="宋体"/>
          <w:sz w:val="24"/>
          <w:szCs w:val="24"/>
        </w:rPr>
        <w:t>奖获得者在内的诸多国际</w:t>
      </w:r>
      <w:r>
        <w:rPr>
          <w:rFonts w:hint="eastAsia" w:ascii="仿宋" w:hAnsi="仿宋" w:eastAsia="仿宋" w:cs="宋体"/>
          <w:sz w:val="24"/>
          <w:szCs w:val="24"/>
        </w:rPr>
        <w:t>顶尖</w:t>
      </w:r>
      <w:r>
        <w:rPr>
          <w:rFonts w:ascii="仿宋" w:hAnsi="仿宋" w:eastAsia="仿宋" w:cs="宋体"/>
          <w:sz w:val="24"/>
          <w:szCs w:val="24"/>
        </w:rPr>
        <w:t>专业人才。</w:t>
      </w:r>
      <w:r>
        <w:rPr>
          <w:rFonts w:hint="eastAsia" w:ascii="仿宋" w:hAnsi="仿宋" w:eastAsia="仿宋" w:cs="宋体"/>
          <w:sz w:val="24"/>
          <w:szCs w:val="24"/>
        </w:rPr>
        <w:t>凭借绝优</w:t>
      </w:r>
      <w:r>
        <w:rPr>
          <w:rFonts w:ascii="仿宋" w:hAnsi="仿宋" w:eastAsia="仿宋" w:cs="宋体"/>
          <w:sz w:val="24"/>
          <w:szCs w:val="24"/>
        </w:rPr>
        <w:t>的地理位置和</w:t>
      </w:r>
      <w:r>
        <w:rPr>
          <w:rFonts w:hint="eastAsia" w:ascii="仿宋" w:hAnsi="仿宋" w:eastAsia="仿宋" w:cs="宋体"/>
          <w:sz w:val="24"/>
          <w:szCs w:val="24"/>
        </w:rPr>
        <w:t>有利的学习</w:t>
      </w:r>
      <w:r>
        <w:rPr>
          <w:rFonts w:ascii="仿宋" w:hAnsi="仿宋" w:eastAsia="仿宋" w:cs="宋体"/>
          <w:sz w:val="24"/>
          <w:szCs w:val="24"/>
        </w:rPr>
        <w:t>环境，</w:t>
      </w:r>
      <w:r>
        <w:rPr>
          <w:rFonts w:hint="eastAsia" w:ascii="仿宋" w:hAnsi="仿宋" w:eastAsia="仿宋" w:cs="宋体"/>
          <w:sz w:val="24"/>
          <w:szCs w:val="24"/>
        </w:rPr>
        <w:t>赛德格</w:t>
      </w:r>
      <w:r>
        <w:rPr>
          <w:rFonts w:ascii="仿宋" w:hAnsi="仿宋" w:eastAsia="仿宋" w:cs="宋体"/>
          <w:sz w:val="24"/>
          <w:szCs w:val="24"/>
        </w:rPr>
        <w:t>大学吸引了来自全球112</w:t>
      </w:r>
      <w:r>
        <w:rPr>
          <w:rFonts w:hint="eastAsia" w:ascii="仿宋" w:hAnsi="仿宋" w:eastAsia="仿宋" w:cs="宋体"/>
          <w:sz w:val="24"/>
          <w:szCs w:val="24"/>
        </w:rPr>
        <w:t>个</w:t>
      </w:r>
      <w:r>
        <w:rPr>
          <w:rFonts w:ascii="仿宋" w:hAnsi="仿宋" w:eastAsia="仿宋" w:cs="宋体"/>
          <w:sz w:val="24"/>
          <w:szCs w:val="24"/>
        </w:rPr>
        <w:t>国家和地区的留学生，为国际留学生开设了众多的英文授课项目，并在世界范围内赢得了良好的国际声望。</w:t>
      </w:r>
    </w:p>
    <w:p>
      <w:pPr>
        <w:rPr>
          <w:rFonts w:ascii="仿宋" w:hAnsi="仿宋" w:eastAsia="仿宋"/>
          <w:sz w:val="24"/>
          <w:szCs w:val="24"/>
        </w:rPr>
      </w:pPr>
      <w:r>
        <w:rPr>
          <w:rFonts w:ascii="仿宋" w:hAnsi="仿宋" w:eastAsia="仿宋"/>
          <w:b/>
          <w:sz w:val="24"/>
          <w:szCs w:val="24"/>
        </w:rPr>
        <w:t>项目介绍：</w:t>
      </w:r>
      <w:r>
        <w:rPr>
          <w:rFonts w:ascii="仿宋" w:hAnsi="仿宋" w:eastAsia="仿宋"/>
          <w:sz w:val="24"/>
          <w:szCs w:val="24"/>
        </w:rPr>
        <w:t>2019</w:t>
      </w:r>
      <w:r>
        <w:rPr>
          <w:rFonts w:hint="eastAsia" w:ascii="仿宋" w:hAnsi="仿宋" w:eastAsia="仿宋"/>
          <w:sz w:val="24"/>
          <w:szCs w:val="24"/>
        </w:rPr>
        <w:t>年赛格德</w:t>
      </w:r>
      <w:r>
        <w:rPr>
          <w:rFonts w:ascii="仿宋" w:hAnsi="仿宋" w:eastAsia="仿宋"/>
          <w:sz w:val="24"/>
          <w:szCs w:val="24"/>
        </w:rPr>
        <w:t>大学暑期项目</w:t>
      </w:r>
      <w:r>
        <w:rPr>
          <w:rFonts w:hint="eastAsia" w:ascii="仿宋" w:hAnsi="仿宋" w:eastAsia="仿宋"/>
          <w:sz w:val="24"/>
          <w:szCs w:val="24"/>
        </w:rPr>
        <w:t>由</w:t>
      </w:r>
      <w:r>
        <w:rPr>
          <w:rFonts w:ascii="仿宋" w:hAnsi="仿宋" w:eastAsia="仿宋"/>
          <w:sz w:val="24"/>
          <w:szCs w:val="24"/>
        </w:rPr>
        <w:t>经管学院</w:t>
      </w:r>
      <w:r>
        <w:rPr>
          <w:rFonts w:hint="eastAsia" w:ascii="仿宋" w:hAnsi="仿宋" w:eastAsia="仿宋"/>
          <w:sz w:val="24"/>
          <w:szCs w:val="24"/>
        </w:rPr>
        <w:t>主办</w:t>
      </w:r>
      <w:r>
        <w:rPr>
          <w:rFonts w:ascii="仿宋" w:hAnsi="仿宋" w:eastAsia="仿宋"/>
          <w:sz w:val="24"/>
          <w:szCs w:val="24"/>
        </w:rPr>
        <w:t>，</w:t>
      </w:r>
      <w:r>
        <w:rPr>
          <w:rFonts w:hint="eastAsia" w:ascii="仿宋" w:hAnsi="仿宋" w:eastAsia="仿宋"/>
          <w:sz w:val="24"/>
          <w:szCs w:val="24"/>
        </w:rPr>
        <w:t>主要</w:t>
      </w:r>
      <w:r>
        <w:rPr>
          <w:rFonts w:ascii="仿宋" w:hAnsi="仿宋" w:eastAsia="仿宋"/>
          <w:sz w:val="24"/>
          <w:szCs w:val="24"/>
        </w:rPr>
        <w:t>围绕欧盟与中东欧国家的经济展开，</w:t>
      </w:r>
      <w:r>
        <w:rPr>
          <w:rFonts w:hint="eastAsia" w:ascii="仿宋" w:hAnsi="仿宋" w:eastAsia="仿宋"/>
          <w:sz w:val="24"/>
          <w:szCs w:val="24"/>
        </w:rPr>
        <w:t>包括欧盟经济</w:t>
      </w:r>
      <w:r>
        <w:rPr>
          <w:rFonts w:ascii="仿宋" w:hAnsi="仿宋" w:eastAsia="仿宋"/>
          <w:sz w:val="24"/>
          <w:szCs w:val="24"/>
        </w:rPr>
        <w:t>一体化、</w:t>
      </w:r>
      <w:r>
        <w:rPr>
          <w:rFonts w:hint="eastAsia" w:ascii="仿宋" w:hAnsi="仿宋" w:eastAsia="仿宋"/>
          <w:sz w:val="24"/>
          <w:szCs w:val="24"/>
        </w:rPr>
        <w:t>欧盟</w:t>
      </w:r>
      <w:r>
        <w:rPr>
          <w:rFonts w:ascii="仿宋" w:hAnsi="仿宋" w:eastAsia="仿宋"/>
          <w:sz w:val="24"/>
          <w:szCs w:val="24"/>
        </w:rPr>
        <w:t>商业环境、</w:t>
      </w:r>
      <w:r>
        <w:rPr>
          <w:rFonts w:hint="eastAsia" w:ascii="仿宋" w:hAnsi="仿宋" w:eastAsia="仿宋"/>
          <w:sz w:val="24"/>
          <w:szCs w:val="24"/>
        </w:rPr>
        <w:t>区域</w:t>
      </w:r>
      <w:r>
        <w:rPr>
          <w:rFonts w:ascii="仿宋" w:hAnsi="仿宋" w:eastAsia="仿宋"/>
          <w:sz w:val="24"/>
          <w:szCs w:val="24"/>
        </w:rPr>
        <w:t>经济、</w:t>
      </w:r>
      <w:r>
        <w:rPr>
          <w:rFonts w:hint="eastAsia" w:ascii="仿宋" w:hAnsi="仿宋" w:eastAsia="仿宋"/>
          <w:sz w:val="24"/>
          <w:szCs w:val="24"/>
        </w:rPr>
        <w:t>外商投资</w:t>
      </w:r>
      <w:r>
        <w:rPr>
          <w:rFonts w:ascii="仿宋" w:hAnsi="仿宋" w:eastAsia="仿宋"/>
          <w:sz w:val="24"/>
          <w:szCs w:val="24"/>
        </w:rPr>
        <w:t>、</w:t>
      </w:r>
      <w:r>
        <w:rPr>
          <w:rFonts w:hint="eastAsia" w:ascii="仿宋" w:hAnsi="仿宋" w:eastAsia="仿宋"/>
          <w:sz w:val="24"/>
          <w:szCs w:val="24"/>
        </w:rPr>
        <w:t>跨国</w:t>
      </w:r>
      <w:r>
        <w:rPr>
          <w:rFonts w:ascii="仿宋" w:hAnsi="仿宋" w:eastAsia="仿宋"/>
          <w:sz w:val="24"/>
          <w:szCs w:val="24"/>
        </w:rPr>
        <w:t>企业、</w:t>
      </w:r>
      <w:r>
        <w:rPr>
          <w:rFonts w:hint="eastAsia" w:ascii="仿宋" w:hAnsi="仿宋" w:eastAsia="仿宋"/>
          <w:sz w:val="24"/>
          <w:szCs w:val="24"/>
        </w:rPr>
        <w:t>后</w:t>
      </w:r>
      <w:r>
        <w:rPr>
          <w:rFonts w:ascii="仿宋" w:hAnsi="仿宋" w:eastAsia="仿宋"/>
          <w:sz w:val="24"/>
          <w:szCs w:val="24"/>
        </w:rPr>
        <w:t>社会主义发展模式和</w:t>
      </w:r>
      <w:r>
        <w:rPr>
          <w:rFonts w:hint="eastAsia" w:ascii="仿宋" w:hAnsi="仿宋" w:eastAsia="仿宋"/>
          <w:sz w:val="24"/>
          <w:szCs w:val="24"/>
        </w:rPr>
        <w:t>中东欧</w:t>
      </w:r>
      <w:r>
        <w:rPr>
          <w:rFonts w:ascii="仿宋" w:hAnsi="仿宋" w:eastAsia="仿宋"/>
          <w:sz w:val="24"/>
          <w:szCs w:val="24"/>
        </w:rPr>
        <w:t>国家商业文化与</w:t>
      </w:r>
      <w:r>
        <w:rPr>
          <w:rFonts w:hint="eastAsia" w:ascii="仿宋" w:hAnsi="仿宋" w:eastAsia="仿宋"/>
          <w:sz w:val="24"/>
          <w:szCs w:val="24"/>
        </w:rPr>
        <w:t>谈判</w:t>
      </w:r>
      <w:r>
        <w:rPr>
          <w:rFonts w:ascii="仿宋" w:hAnsi="仿宋" w:eastAsia="仿宋"/>
          <w:sz w:val="24"/>
          <w:szCs w:val="24"/>
        </w:rPr>
        <w:t>技巧等，</w:t>
      </w:r>
      <w:r>
        <w:rPr>
          <w:rFonts w:hint="eastAsia" w:ascii="仿宋" w:hAnsi="仿宋" w:eastAsia="仿宋"/>
          <w:sz w:val="24"/>
          <w:szCs w:val="24"/>
        </w:rPr>
        <w:t>同时</w:t>
      </w:r>
      <w:r>
        <w:rPr>
          <w:rFonts w:ascii="仿宋" w:hAnsi="仿宋" w:eastAsia="仿宋"/>
          <w:sz w:val="24"/>
          <w:szCs w:val="24"/>
        </w:rPr>
        <w:t>，</w:t>
      </w:r>
      <w:r>
        <w:rPr>
          <w:rFonts w:hint="eastAsia" w:ascii="仿宋" w:hAnsi="仿宋" w:eastAsia="仿宋"/>
          <w:sz w:val="24"/>
          <w:szCs w:val="24"/>
        </w:rPr>
        <w:t>学生</w:t>
      </w:r>
      <w:r>
        <w:rPr>
          <w:rFonts w:ascii="仿宋" w:hAnsi="仿宋" w:eastAsia="仿宋"/>
          <w:sz w:val="24"/>
          <w:szCs w:val="24"/>
        </w:rPr>
        <w:t>还将通</w:t>
      </w:r>
      <w:r>
        <w:rPr>
          <w:rFonts w:hint="eastAsia" w:ascii="仿宋" w:hAnsi="仿宋" w:eastAsia="仿宋"/>
          <w:sz w:val="24"/>
          <w:szCs w:val="24"/>
        </w:rPr>
        <w:t>过</w:t>
      </w:r>
      <w:r>
        <w:rPr>
          <w:rFonts w:ascii="仿宋" w:hAnsi="仿宋" w:eastAsia="仿宋"/>
          <w:sz w:val="24"/>
          <w:szCs w:val="24"/>
        </w:rPr>
        <w:t>一系列的文化</w:t>
      </w:r>
      <w:r>
        <w:rPr>
          <w:rFonts w:hint="eastAsia" w:ascii="仿宋" w:hAnsi="仿宋" w:eastAsia="仿宋"/>
          <w:sz w:val="24"/>
          <w:szCs w:val="24"/>
        </w:rPr>
        <w:t>探访</w:t>
      </w:r>
      <w:r>
        <w:rPr>
          <w:rFonts w:ascii="仿宋" w:hAnsi="仿宋" w:eastAsia="仿宋"/>
          <w:sz w:val="24"/>
          <w:szCs w:val="24"/>
        </w:rPr>
        <w:t>和</w:t>
      </w:r>
      <w:r>
        <w:rPr>
          <w:rFonts w:hint="eastAsia" w:ascii="仿宋" w:hAnsi="仿宋" w:eastAsia="仿宋"/>
          <w:sz w:val="24"/>
          <w:szCs w:val="24"/>
        </w:rPr>
        <w:t>企业访问</w:t>
      </w:r>
      <w:r>
        <w:rPr>
          <w:rFonts w:ascii="仿宋" w:hAnsi="仿宋" w:eastAsia="仿宋"/>
          <w:sz w:val="24"/>
          <w:szCs w:val="24"/>
        </w:rPr>
        <w:t>实习活动了解</w:t>
      </w:r>
      <w:r>
        <w:rPr>
          <w:rFonts w:hint="eastAsia" w:ascii="仿宋" w:hAnsi="仿宋" w:eastAsia="仿宋"/>
          <w:sz w:val="24"/>
          <w:szCs w:val="24"/>
        </w:rPr>
        <w:t>匈牙利</w:t>
      </w:r>
      <w:r>
        <w:rPr>
          <w:rFonts w:ascii="仿宋" w:hAnsi="仿宋" w:eastAsia="仿宋"/>
          <w:sz w:val="24"/>
          <w:szCs w:val="24"/>
        </w:rPr>
        <w:t>的</w:t>
      </w:r>
      <w:r>
        <w:rPr>
          <w:rFonts w:hint="eastAsia" w:ascii="仿宋" w:hAnsi="仿宋" w:eastAsia="仿宋"/>
          <w:sz w:val="24"/>
          <w:szCs w:val="24"/>
        </w:rPr>
        <w:t>人文与</w:t>
      </w:r>
      <w:r>
        <w:rPr>
          <w:rFonts w:ascii="仿宋" w:hAnsi="仿宋" w:eastAsia="仿宋"/>
          <w:sz w:val="24"/>
          <w:szCs w:val="24"/>
        </w:rPr>
        <w:t>社会环境。</w:t>
      </w:r>
    </w:p>
    <w:p>
      <w:pPr>
        <w:rPr>
          <w:rFonts w:ascii="仿宋" w:hAnsi="仿宋" w:eastAsia="仿宋"/>
          <w:color w:val="000000" w:themeColor="text1"/>
          <w:sz w:val="24"/>
          <w:szCs w:val="24"/>
          <w14:textFill>
            <w14:solidFill>
              <w14:schemeClr w14:val="tx1"/>
            </w14:solidFill>
          </w14:textFill>
        </w:rPr>
      </w:pPr>
      <w:r>
        <w:rPr>
          <w:rFonts w:hint="eastAsia" w:ascii="仿宋" w:hAnsi="仿宋" w:eastAsia="仿宋"/>
          <w:b/>
          <w:sz w:val="24"/>
          <w:szCs w:val="24"/>
        </w:rPr>
        <w:t>项目</w:t>
      </w:r>
      <w:r>
        <w:rPr>
          <w:rFonts w:ascii="仿宋" w:hAnsi="仿宋" w:eastAsia="仿宋"/>
          <w:b/>
          <w:sz w:val="24"/>
          <w:szCs w:val="24"/>
        </w:rPr>
        <w:t>时间:</w:t>
      </w:r>
      <w:r>
        <w:rPr>
          <w:rFonts w:ascii="仿宋" w:hAnsi="仿宋" w:eastAsia="仿宋"/>
          <w:color w:val="000000" w:themeColor="text1"/>
          <w:sz w:val="24"/>
          <w:szCs w:val="24"/>
          <w14:textFill>
            <w14:solidFill>
              <w14:schemeClr w14:val="tx1"/>
            </w14:solidFill>
          </w14:textFill>
        </w:rPr>
        <w:t xml:space="preserve"> 2019年7</w:t>
      </w:r>
      <w:r>
        <w:rPr>
          <w:rFonts w:hint="eastAsia" w:ascii="仿宋" w:hAnsi="仿宋" w:eastAsia="仿宋"/>
          <w:color w:val="000000" w:themeColor="text1"/>
          <w:sz w:val="24"/>
          <w:szCs w:val="24"/>
          <w14:textFill>
            <w14:solidFill>
              <w14:schemeClr w14:val="tx1"/>
            </w14:solidFill>
          </w14:textFill>
        </w:rPr>
        <w:t>月</w:t>
      </w:r>
      <w:r>
        <w:rPr>
          <w:rFonts w:ascii="仿宋" w:hAnsi="仿宋" w:eastAsia="仿宋"/>
          <w:color w:val="000000" w:themeColor="text1"/>
          <w:sz w:val="24"/>
          <w:szCs w:val="24"/>
          <w14:textFill>
            <w14:solidFill>
              <w14:schemeClr w14:val="tx1"/>
            </w14:solidFill>
          </w14:textFill>
        </w:rPr>
        <w:t>15</w:t>
      </w:r>
      <w:r>
        <w:rPr>
          <w:rFonts w:hint="eastAsia" w:ascii="仿宋" w:hAnsi="仿宋" w:eastAsia="仿宋"/>
          <w:color w:val="000000" w:themeColor="text1"/>
          <w:sz w:val="24"/>
          <w:szCs w:val="24"/>
          <w14:textFill>
            <w14:solidFill>
              <w14:schemeClr w14:val="tx1"/>
            </w14:solidFill>
          </w14:textFill>
        </w:rPr>
        <w:t>日</w:t>
      </w:r>
      <w:r>
        <w:rPr>
          <w:rFonts w:ascii="仿宋" w:hAnsi="仿宋" w:eastAsia="仿宋"/>
          <w:color w:val="000000" w:themeColor="text1"/>
          <w:sz w:val="24"/>
          <w:szCs w:val="24"/>
          <w14:textFill>
            <w14:solidFill>
              <w14:schemeClr w14:val="tx1"/>
            </w14:solidFill>
          </w14:textFill>
        </w:rPr>
        <w:t>-2019</w:t>
      </w:r>
      <w:r>
        <w:rPr>
          <w:rFonts w:hint="eastAsia" w:ascii="仿宋" w:hAnsi="仿宋" w:eastAsia="仿宋"/>
          <w:color w:val="000000" w:themeColor="text1"/>
          <w:sz w:val="24"/>
          <w:szCs w:val="24"/>
          <w14:textFill>
            <w14:solidFill>
              <w14:schemeClr w14:val="tx1"/>
            </w14:solidFill>
          </w14:textFill>
        </w:rPr>
        <w:t>年</w:t>
      </w:r>
      <w:r>
        <w:rPr>
          <w:rFonts w:ascii="仿宋" w:hAnsi="仿宋" w:eastAsia="仿宋"/>
          <w:color w:val="000000" w:themeColor="text1"/>
          <w:sz w:val="24"/>
          <w:szCs w:val="24"/>
          <w14:textFill>
            <w14:solidFill>
              <w14:schemeClr w14:val="tx1"/>
            </w14:solidFill>
          </w14:textFill>
        </w:rPr>
        <w:t>7</w:t>
      </w:r>
      <w:r>
        <w:rPr>
          <w:rFonts w:hint="eastAsia" w:ascii="仿宋" w:hAnsi="仿宋" w:eastAsia="仿宋"/>
          <w:color w:val="000000" w:themeColor="text1"/>
          <w:sz w:val="24"/>
          <w:szCs w:val="24"/>
          <w14:textFill>
            <w14:solidFill>
              <w14:schemeClr w14:val="tx1"/>
            </w14:solidFill>
          </w14:textFill>
        </w:rPr>
        <w:t>月</w:t>
      </w:r>
      <w:r>
        <w:rPr>
          <w:rFonts w:ascii="仿宋" w:hAnsi="仿宋" w:eastAsia="仿宋"/>
          <w:color w:val="000000" w:themeColor="text1"/>
          <w:sz w:val="24"/>
          <w:szCs w:val="24"/>
          <w14:textFill>
            <w14:solidFill>
              <w14:schemeClr w14:val="tx1"/>
            </w14:solidFill>
          </w14:textFill>
        </w:rPr>
        <w:t>28</w:t>
      </w:r>
      <w:r>
        <w:rPr>
          <w:rFonts w:hint="eastAsia" w:ascii="仿宋" w:hAnsi="仿宋" w:eastAsia="仿宋"/>
          <w:color w:val="000000" w:themeColor="text1"/>
          <w:sz w:val="24"/>
          <w:szCs w:val="24"/>
          <w14:textFill>
            <w14:solidFill>
              <w14:schemeClr w14:val="tx1"/>
            </w14:solidFill>
          </w14:textFill>
        </w:rPr>
        <w:t>日</w:t>
      </w:r>
      <w:r>
        <w:rPr>
          <w:rFonts w:ascii="仿宋" w:hAnsi="仿宋" w:eastAsia="仿宋"/>
          <w:color w:val="000000" w:themeColor="text1"/>
          <w:sz w:val="24"/>
          <w:szCs w:val="24"/>
          <w14:textFill>
            <w14:solidFill>
              <w14:schemeClr w14:val="tx1"/>
            </w14:solidFill>
          </w14:textFill>
        </w:rPr>
        <w:t>（13</w:t>
      </w:r>
      <w:r>
        <w:rPr>
          <w:rFonts w:hint="eastAsia" w:ascii="仿宋" w:hAnsi="仿宋" w:eastAsia="仿宋"/>
          <w:color w:val="000000" w:themeColor="text1"/>
          <w:sz w:val="24"/>
          <w:szCs w:val="24"/>
          <w14:textFill>
            <w14:solidFill>
              <w14:schemeClr w14:val="tx1"/>
            </w14:solidFill>
          </w14:textFill>
        </w:rPr>
        <w:t>天</w:t>
      </w:r>
      <w:r>
        <w:rPr>
          <w:rFonts w:ascii="仿宋" w:hAnsi="仿宋" w:eastAsia="仿宋"/>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具体</w:t>
      </w:r>
      <w:r>
        <w:rPr>
          <w:rFonts w:ascii="仿宋" w:hAnsi="仿宋" w:eastAsia="仿宋"/>
          <w:color w:val="000000" w:themeColor="text1"/>
          <w:sz w:val="24"/>
          <w:szCs w:val="24"/>
          <w14:textFill>
            <w14:solidFill>
              <w14:schemeClr w14:val="tx1"/>
            </w14:solidFill>
          </w14:textFill>
        </w:rPr>
        <w:t>日期待定）</w:t>
      </w:r>
    </w:p>
    <w:p>
      <w:pPr>
        <w:rPr>
          <w:rFonts w:ascii="仿宋" w:hAnsi="仿宋" w:eastAsia="仿宋"/>
          <w:sz w:val="24"/>
          <w:szCs w:val="24"/>
        </w:rPr>
      </w:pPr>
      <w:r>
        <w:rPr>
          <w:rFonts w:ascii="仿宋" w:hAnsi="仿宋" w:eastAsia="仿宋"/>
          <w:b/>
          <w:sz w:val="24"/>
          <w:szCs w:val="24"/>
        </w:rPr>
        <w:t>申请对象：</w:t>
      </w:r>
      <w:r>
        <w:rPr>
          <w:rFonts w:hint="eastAsia" w:ascii="仿宋" w:hAnsi="仿宋" w:eastAsia="仿宋"/>
          <w:sz w:val="24"/>
          <w:szCs w:val="24"/>
        </w:rPr>
        <w:t>在读</w:t>
      </w:r>
      <w:r>
        <w:rPr>
          <w:rFonts w:ascii="仿宋" w:hAnsi="仿宋" w:eastAsia="仿宋"/>
          <w:sz w:val="24"/>
          <w:szCs w:val="24"/>
        </w:rPr>
        <w:t>本科生和</w:t>
      </w:r>
      <w:r>
        <w:rPr>
          <w:rFonts w:hint="eastAsia" w:ascii="仿宋" w:hAnsi="仿宋" w:eastAsia="仿宋"/>
          <w:sz w:val="24"/>
          <w:szCs w:val="24"/>
        </w:rPr>
        <w:t>研究生</w:t>
      </w:r>
    </w:p>
    <w:p>
      <w:pPr>
        <w:rPr>
          <w:rFonts w:ascii="仿宋" w:hAnsi="仿宋" w:eastAsia="仿宋"/>
          <w:sz w:val="24"/>
          <w:szCs w:val="24"/>
        </w:rPr>
      </w:pPr>
      <w:r>
        <w:rPr>
          <w:rFonts w:hint="eastAsia" w:ascii="仿宋" w:hAnsi="仿宋" w:eastAsia="仿宋"/>
          <w:b/>
          <w:sz w:val="24"/>
          <w:szCs w:val="24"/>
        </w:rPr>
        <w:t>申请</w:t>
      </w:r>
      <w:r>
        <w:rPr>
          <w:rFonts w:ascii="仿宋" w:hAnsi="仿宋" w:eastAsia="仿宋"/>
          <w:b/>
          <w:sz w:val="24"/>
          <w:szCs w:val="24"/>
        </w:rPr>
        <w:t>人数：</w:t>
      </w:r>
      <w:r>
        <w:rPr>
          <w:rFonts w:ascii="仿宋" w:hAnsi="仿宋" w:eastAsia="仿宋"/>
          <w:sz w:val="24"/>
          <w:szCs w:val="24"/>
        </w:rPr>
        <w:t>15-20</w:t>
      </w:r>
      <w:r>
        <w:rPr>
          <w:rFonts w:hint="eastAsia" w:ascii="仿宋" w:hAnsi="仿宋" w:eastAsia="仿宋"/>
          <w:sz w:val="24"/>
          <w:szCs w:val="24"/>
        </w:rPr>
        <w:t>人</w:t>
      </w:r>
    </w:p>
    <w:p>
      <w:pPr>
        <w:rPr>
          <w:rFonts w:ascii="仿宋" w:hAnsi="仿宋" w:eastAsia="仿宋"/>
          <w:sz w:val="24"/>
          <w:szCs w:val="24"/>
        </w:rPr>
      </w:pPr>
      <w:r>
        <w:rPr>
          <w:rFonts w:ascii="仿宋" w:hAnsi="仿宋" w:eastAsia="仿宋"/>
          <w:b/>
          <w:sz w:val="24"/>
          <w:szCs w:val="24"/>
        </w:rPr>
        <w:t>申请时间：</w:t>
      </w:r>
      <w:r>
        <w:rPr>
          <w:rFonts w:ascii="仿宋" w:hAnsi="仿宋" w:eastAsia="仿宋"/>
          <w:sz w:val="24"/>
          <w:szCs w:val="24"/>
        </w:rPr>
        <w:t>2019</w:t>
      </w:r>
      <w:r>
        <w:rPr>
          <w:rFonts w:hint="eastAsia" w:ascii="仿宋" w:hAnsi="仿宋" w:eastAsia="仿宋"/>
          <w:sz w:val="24"/>
          <w:szCs w:val="24"/>
        </w:rPr>
        <w:t>年</w:t>
      </w:r>
      <w:r>
        <w:rPr>
          <w:rFonts w:ascii="仿宋" w:hAnsi="仿宋" w:eastAsia="仿宋"/>
          <w:sz w:val="24"/>
          <w:szCs w:val="24"/>
        </w:rPr>
        <w:t>4月24</w:t>
      </w:r>
      <w:r>
        <w:rPr>
          <w:rFonts w:hint="eastAsia" w:ascii="仿宋" w:hAnsi="仿宋" w:eastAsia="仿宋"/>
          <w:sz w:val="24"/>
          <w:szCs w:val="24"/>
        </w:rPr>
        <w:t>日</w:t>
      </w:r>
      <w:r>
        <w:rPr>
          <w:rFonts w:ascii="仿宋" w:hAnsi="仿宋" w:eastAsia="仿宋"/>
          <w:sz w:val="24"/>
          <w:szCs w:val="24"/>
        </w:rPr>
        <w:t>-2019</w:t>
      </w:r>
      <w:r>
        <w:rPr>
          <w:rFonts w:hint="eastAsia" w:ascii="仿宋" w:hAnsi="仿宋" w:eastAsia="仿宋"/>
          <w:sz w:val="24"/>
          <w:szCs w:val="24"/>
        </w:rPr>
        <w:t>年</w:t>
      </w:r>
      <w:r>
        <w:rPr>
          <w:rFonts w:ascii="仿宋" w:hAnsi="仿宋" w:eastAsia="仿宋"/>
          <w:sz w:val="24"/>
          <w:szCs w:val="24"/>
        </w:rPr>
        <w:t>5</w:t>
      </w:r>
      <w:r>
        <w:rPr>
          <w:rFonts w:hint="eastAsia" w:ascii="仿宋" w:hAnsi="仿宋" w:eastAsia="仿宋"/>
          <w:sz w:val="24"/>
          <w:szCs w:val="24"/>
        </w:rPr>
        <w:t>月</w:t>
      </w:r>
      <w:r>
        <w:rPr>
          <w:rFonts w:ascii="仿宋" w:hAnsi="仿宋" w:eastAsia="仿宋"/>
          <w:sz w:val="24"/>
          <w:szCs w:val="24"/>
        </w:rPr>
        <w:t>10</w:t>
      </w:r>
      <w:r>
        <w:rPr>
          <w:rFonts w:hint="eastAsia" w:ascii="仿宋" w:hAnsi="仿宋" w:eastAsia="仿宋"/>
          <w:sz w:val="24"/>
          <w:szCs w:val="24"/>
        </w:rPr>
        <w:t>日</w:t>
      </w:r>
    </w:p>
    <w:p>
      <w:pPr>
        <w:rPr>
          <w:rFonts w:ascii="宋体" w:hAnsi="宋体" w:eastAsia="宋体" w:cs="宋体"/>
          <w:sz w:val="24"/>
          <w:szCs w:val="24"/>
        </w:rPr>
      </w:pPr>
      <w:r>
        <w:rPr>
          <w:rFonts w:hint="eastAsia" w:ascii="仿宋" w:hAnsi="仿宋" w:eastAsia="仿宋"/>
          <w:b/>
          <w:sz w:val="24"/>
          <w:szCs w:val="24"/>
        </w:rPr>
        <w:t>项目</w:t>
      </w:r>
      <w:r>
        <w:rPr>
          <w:rFonts w:ascii="仿宋" w:hAnsi="仿宋" w:eastAsia="仿宋"/>
          <w:b/>
          <w:sz w:val="24"/>
          <w:szCs w:val="24"/>
        </w:rPr>
        <w:t>费用：</w:t>
      </w:r>
      <w:r>
        <w:rPr>
          <w:rFonts w:ascii="仿宋" w:hAnsi="仿宋" w:eastAsia="仿宋"/>
          <w:sz w:val="24"/>
          <w:szCs w:val="24"/>
        </w:rPr>
        <w:t>2</w:t>
      </w:r>
      <w:r>
        <w:rPr>
          <w:rFonts w:ascii="宋体" w:hAnsi="宋体" w:eastAsia="宋体" w:cs="宋体"/>
          <w:sz w:val="24"/>
          <w:szCs w:val="24"/>
        </w:rPr>
        <w:t>2,000</w:t>
      </w:r>
      <w:r>
        <w:rPr>
          <w:rFonts w:hint="eastAsia" w:ascii="宋体" w:hAnsi="宋体" w:eastAsia="宋体" w:cs="宋体"/>
          <w:sz w:val="24"/>
          <w:szCs w:val="24"/>
        </w:rPr>
        <w:t>元</w:t>
      </w:r>
      <w:r>
        <w:rPr>
          <w:rFonts w:ascii="宋体" w:hAnsi="宋体" w:eastAsia="宋体" w:cs="宋体"/>
          <w:sz w:val="24"/>
          <w:szCs w:val="24"/>
        </w:rPr>
        <w:t>/</w:t>
      </w:r>
      <w:r>
        <w:rPr>
          <w:rFonts w:hint="eastAsia" w:ascii="宋体" w:hAnsi="宋体" w:eastAsia="宋体" w:cs="宋体"/>
          <w:sz w:val="24"/>
          <w:szCs w:val="24"/>
        </w:rPr>
        <w:t>人</w:t>
      </w:r>
      <w:r>
        <w:rPr>
          <w:rFonts w:ascii="宋体" w:hAnsi="宋体" w:eastAsia="宋体" w:cs="宋体"/>
          <w:sz w:val="24"/>
          <w:szCs w:val="24"/>
        </w:rPr>
        <w:t>(包含签证费、</w:t>
      </w:r>
      <w:r>
        <w:rPr>
          <w:rFonts w:hint="eastAsia" w:ascii="宋体" w:hAnsi="宋体" w:eastAsia="宋体" w:cs="宋体"/>
          <w:sz w:val="24"/>
          <w:szCs w:val="24"/>
        </w:rPr>
        <w:t>匈牙利</w:t>
      </w:r>
      <w:r>
        <w:rPr>
          <w:rFonts w:ascii="宋体" w:hAnsi="宋体" w:eastAsia="宋体" w:cs="宋体"/>
          <w:sz w:val="24"/>
          <w:szCs w:val="24"/>
        </w:rPr>
        <w:t>境内交通、</w:t>
      </w:r>
      <w:r>
        <w:rPr>
          <w:rFonts w:hint="eastAsia" w:ascii="宋体" w:hAnsi="宋体" w:eastAsia="宋体" w:cs="宋体"/>
          <w:sz w:val="24"/>
          <w:szCs w:val="24"/>
        </w:rPr>
        <w:t>住宿和</w:t>
      </w:r>
      <w:r>
        <w:rPr>
          <w:rFonts w:ascii="宋体" w:hAnsi="宋体" w:eastAsia="宋体" w:cs="宋体"/>
          <w:sz w:val="24"/>
          <w:szCs w:val="24"/>
        </w:rPr>
        <w:t>早午餐，</w:t>
      </w:r>
      <w:r>
        <w:rPr>
          <w:rFonts w:hint="eastAsia" w:ascii="宋体" w:hAnsi="宋体" w:eastAsia="宋体" w:cs="宋体"/>
          <w:sz w:val="24"/>
          <w:szCs w:val="24"/>
        </w:rPr>
        <w:t>不含</w:t>
      </w:r>
      <w:r>
        <w:rPr>
          <w:rFonts w:ascii="宋体" w:hAnsi="宋体" w:eastAsia="宋体" w:cs="宋体"/>
          <w:sz w:val="24"/>
          <w:szCs w:val="24"/>
        </w:rPr>
        <w:t>往返机票</w:t>
      </w:r>
      <w:r>
        <w:rPr>
          <w:rFonts w:hint="eastAsia" w:ascii="宋体" w:hAnsi="宋体" w:eastAsia="宋体" w:cs="宋体"/>
          <w:sz w:val="24"/>
          <w:szCs w:val="24"/>
        </w:rPr>
        <w:t>和</w:t>
      </w:r>
      <w:r>
        <w:rPr>
          <w:rFonts w:ascii="宋体" w:hAnsi="宋体" w:eastAsia="宋体" w:cs="宋体"/>
          <w:sz w:val="24"/>
          <w:szCs w:val="24"/>
        </w:rPr>
        <w:t>晚餐费</w:t>
      </w:r>
      <w:r>
        <w:rPr>
          <w:rFonts w:hint="eastAsia" w:ascii="宋体" w:hAnsi="宋体" w:eastAsia="宋体" w:cs="宋体"/>
          <w:sz w:val="24"/>
          <w:szCs w:val="24"/>
        </w:rPr>
        <w:t>)</w:t>
      </w:r>
    </w:p>
    <w:p>
      <w:pPr>
        <w:rPr>
          <w:rFonts w:hint="eastAsia" w:ascii="仿宋" w:hAnsi="仿宋" w:eastAsia="仿宋"/>
          <w:b/>
          <w:sz w:val="24"/>
          <w:szCs w:val="24"/>
        </w:rPr>
      </w:pPr>
      <w:r>
        <w:rPr>
          <w:rFonts w:hint="eastAsia" w:ascii="仿宋" w:hAnsi="仿宋" w:eastAsia="仿宋"/>
          <w:b/>
          <w:sz w:val="24"/>
          <w:szCs w:val="24"/>
        </w:rPr>
        <w:t>申请</w:t>
      </w:r>
      <w:r>
        <w:rPr>
          <w:rFonts w:ascii="仿宋" w:hAnsi="仿宋" w:eastAsia="仿宋"/>
          <w:b/>
          <w:sz w:val="24"/>
          <w:szCs w:val="24"/>
        </w:rPr>
        <w:t>方式：5</w:t>
      </w:r>
      <w:r>
        <w:rPr>
          <w:rFonts w:hint="eastAsia" w:ascii="仿宋" w:hAnsi="仿宋" w:eastAsia="仿宋"/>
          <w:b/>
          <w:sz w:val="24"/>
          <w:szCs w:val="24"/>
        </w:rPr>
        <w:t>月10日</w:t>
      </w:r>
      <w:r>
        <w:rPr>
          <w:rFonts w:ascii="仿宋" w:hAnsi="仿宋" w:eastAsia="仿宋"/>
          <w:b/>
          <w:sz w:val="24"/>
          <w:szCs w:val="24"/>
        </w:rPr>
        <w:t>之前向各年级老师处报名。</w:t>
      </w:r>
    </w:p>
    <w:p>
      <w:pPr>
        <w:spacing w:after="0" w:line="240" w:lineRule="auto"/>
        <w:rPr>
          <w:rFonts w:ascii="Times New Roman" w:hAnsi="Times New Roman" w:eastAsia="仿宋" w:cs="Times New Roman"/>
          <w:b/>
          <w:sz w:val="24"/>
          <w:szCs w:val="24"/>
        </w:rPr>
      </w:pPr>
    </w:p>
    <w:p>
      <w:pPr>
        <w:spacing w:after="0" w:line="240" w:lineRule="auto"/>
        <w:rPr>
          <w:rFonts w:ascii="仿宋" w:hAnsi="仿宋" w:eastAsia="仿宋"/>
          <w:b/>
          <w:sz w:val="24"/>
          <w:szCs w:val="24"/>
        </w:rPr>
      </w:pPr>
      <w:bookmarkStart w:id="0" w:name="_GoBack"/>
      <w:bookmarkEnd w:id="0"/>
      <w:r>
        <w:rPr>
          <w:rFonts w:ascii="Times New Roman" w:hAnsi="Times New Roman" w:eastAsia="仿宋" w:cs="Times New Roman"/>
          <w:b/>
          <w:sz w:val="24"/>
          <w:szCs w:val="24"/>
        </w:rPr>
        <w:t xml:space="preserve">Course description </w:t>
      </w:r>
      <w:r>
        <w:rPr>
          <w:rFonts w:hint="eastAsia" w:ascii="仿宋" w:hAnsi="仿宋" w:eastAsia="仿宋"/>
          <w:b/>
          <w:sz w:val="24"/>
          <w:szCs w:val="24"/>
        </w:rPr>
        <w:t>课程</w:t>
      </w:r>
      <w:r>
        <w:rPr>
          <w:rFonts w:ascii="仿宋" w:hAnsi="仿宋" w:eastAsia="仿宋"/>
          <w:b/>
          <w:sz w:val="24"/>
          <w:szCs w:val="24"/>
        </w:rPr>
        <w:t>描述</w:t>
      </w:r>
    </w:p>
    <w:p>
      <w:pPr>
        <w:spacing w:after="0" w:line="240" w:lineRule="auto"/>
        <w:rPr>
          <w:rFonts w:ascii="仿宋" w:hAnsi="仿宋" w:eastAsia="仿宋"/>
          <w:b/>
          <w:sz w:val="24"/>
          <w:szCs w:val="24"/>
        </w:rPr>
      </w:pPr>
    </w:p>
    <w:tbl>
      <w:tblPr>
        <w:tblStyle w:val="3"/>
        <w:tblW w:w="93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1"/>
        <w:gridCol w:w="5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71" w:type="dxa"/>
            <w:vAlign w:val="center"/>
          </w:tcPr>
          <w:p>
            <w:pPr>
              <w:spacing w:after="0" w:line="240" w:lineRule="auto"/>
              <w:jc w:val="center"/>
              <w:rPr>
                <w:rFonts w:ascii="仿宋" w:hAnsi="仿宋" w:eastAsia="仿宋"/>
                <w:sz w:val="24"/>
                <w:szCs w:val="24"/>
              </w:rPr>
            </w:pPr>
            <w:r>
              <w:rPr>
                <w:rFonts w:ascii="Times New Roman" w:hAnsi="Times New Roman" w:eastAsia="仿宋" w:cs="Times New Roman"/>
                <w:sz w:val="24"/>
                <w:szCs w:val="24"/>
              </w:rPr>
              <w:t xml:space="preserve">Title </w:t>
            </w:r>
            <w:r>
              <w:rPr>
                <w:rFonts w:ascii="仿宋" w:hAnsi="仿宋" w:eastAsia="仿宋"/>
                <w:sz w:val="24"/>
                <w:szCs w:val="24"/>
              </w:rPr>
              <w:t>课程名称</w:t>
            </w:r>
          </w:p>
        </w:tc>
        <w:tc>
          <w:tcPr>
            <w:tcW w:w="5814" w:type="dxa"/>
            <w:vAlign w:val="center"/>
          </w:tcPr>
          <w:p>
            <w:pPr>
              <w:spacing w:after="0" w:line="240" w:lineRule="auto"/>
              <w:jc w:val="center"/>
              <w:rPr>
                <w:rFonts w:ascii="仿宋" w:hAnsi="仿宋" w:eastAsia="仿宋"/>
                <w:sz w:val="24"/>
                <w:szCs w:val="24"/>
              </w:rPr>
            </w:pPr>
            <w:r>
              <w:rPr>
                <w:rFonts w:ascii="Times New Roman" w:hAnsi="Times New Roman" w:eastAsia="仿宋" w:cs="Times New Roman"/>
                <w:sz w:val="24"/>
                <w:szCs w:val="24"/>
              </w:rPr>
              <w:t>Description</w:t>
            </w:r>
            <w:r>
              <w:rPr>
                <w:rFonts w:ascii="仿宋" w:hAnsi="仿宋" w:eastAsia="仿宋"/>
                <w:sz w:val="24"/>
                <w:szCs w:val="24"/>
              </w:rPr>
              <w:t xml:space="preserve"> </w:t>
            </w:r>
            <w:r>
              <w:rPr>
                <w:rFonts w:hint="eastAsia" w:ascii="仿宋" w:hAnsi="仿宋" w:eastAsia="仿宋"/>
                <w:sz w:val="24"/>
                <w:szCs w:val="24"/>
              </w:rPr>
              <w:t>课程</w:t>
            </w:r>
            <w:r>
              <w:rPr>
                <w:rFonts w:ascii="仿宋" w:hAnsi="仿宋" w:eastAsia="仿宋"/>
                <w:sz w:val="24"/>
                <w:szCs w:val="24"/>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3571" w:type="dxa"/>
            <w:vAlign w:val="center"/>
          </w:tcPr>
          <w:p>
            <w:pPr>
              <w:spacing w:after="0" w:line="24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European Business Environment</w:t>
            </w:r>
          </w:p>
          <w:p>
            <w:pPr>
              <w:spacing w:after="0" w:line="240" w:lineRule="auto"/>
              <w:jc w:val="center"/>
              <w:rPr>
                <w:rFonts w:ascii="仿宋" w:hAnsi="仿宋" w:eastAsia="仿宋"/>
                <w:sz w:val="24"/>
                <w:szCs w:val="24"/>
              </w:rPr>
            </w:pPr>
            <w:r>
              <w:rPr>
                <w:rFonts w:hint="eastAsia" w:ascii="仿宋" w:hAnsi="仿宋" w:eastAsia="仿宋"/>
                <w:sz w:val="24"/>
                <w:szCs w:val="24"/>
              </w:rPr>
              <w:t>欧洲</w:t>
            </w:r>
            <w:r>
              <w:rPr>
                <w:rFonts w:ascii="仿宋" w:hAnsi="仿宋" w:eastAsia="仿宋"/>
                <w:sz w:val="24"/>
                <w:szCs w:val="24"/>
              </w:rPr>
              <w:t>商业环境</w:t>
            </w:r>
          </w:p>
        </w:tc>
        <w:tc>
          <w:tcPr>
            <w:tcW w:w="5814" w:type="dxa"/>
            <w:vAlign w:val="center"/>
          </w:tcPr>
          <w:p>
            <w:pPr>
              <w:spacing w:after="0" w:line="240" w:lineRule="auto"/>
              <w:rPr>
                <w:rFonts w:ascii="Times New Roman" w:hAnsi="Times New Roman" w:eastAsia="仿宋" w:cs="Times New Roman"/>
                <w:sz w:val="24"/>
                <w:szCs w:val="24"/>
              </w:rPr>
            </w:pPr>
            <w:r>
              <w:rPr>
                <w:rFonts w:ascii="Times New Roman" w:hAnsi="Times New Roman" w:eastAsia="仿宋" w:cs="Times New Roman"/>
                <w:sz w:val="24"/>
                <w:szCs w:val="24"/>
              </w:rPr>
              <w:t>The EU in the world. The functioning of the internal market of the EU, the four freedoms, the Schengen Area. Europe for citizens, Europe for businesses.</w:t>
            </w:r>
          </w:p>
          <w:p>
            <w:pPr>
              <w:spacing w:after="0" w:line="240" w:lineRule="auto"/>
              <w:rPr>
                <w:rFonts w:ascii="仿宋" w:hAnsi="仿宋" w:eastAsia="仿宋"/>
                <w:sz w:val="24"/>
                <w:szCs w:val="24"/>
              </w:rPr>
            </w:pPr>
            <w:r>
              <w:rPr>
                <w:rFonts w:hint="eastAsia" w:ascii="仿宋" w:hAnsi="仿宋" w:eastAsia="仿宋"/>
                <w:sz w:val="24"/>
                <w:szCs w:val="24"/>
              </w:rPr>
              <w:t>通过深入解读欧盟市场内部机制，四大流动自由和申根区的运作方式，学生将对欧盟在整个世界范围内扮演的角色和影响有全新的了解，同时，课程还将涵盖欧盟区内的各种商业运作模式和社区文化。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2" w:hRule="atLeast"/>
          <w:jc w:val="center"/>
        </w:trPr>
        <w:tc>
          <w:tcPr>
            <w:tcW w:w="3571" w:type="dxa"/>
            <w:vAlign w:val="center"/>
          </w:tcPr>
          <w:p>
            <w:pPr>
              <w:spacing w:after="0" w:line="24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Economic Fundamentals of European integration</w:t>
            </w:r>
          </w:p>
          <w:p>
            <w:pPr>
              <w:spacing w:after="0" w:line="240" w:lineRule="auto"/>
              <w:jc w:val="center"/>
              <w:rPr>
                <w:rFonts w:ascii="仿宋" w:hAnsi="仿宋" w:eastAsia="仿宋"/>
                <w:sz w:val="24"/>
                <w:szCs w:val="24"/>
              </w:rPr>
            </w:pPr>
            <w:r>
              <w:rPr>
                <w:rFonts w:ascii="仿宋" w:hAnsi="仿宋" w:eastAsia="仿宋"/>
                <w:sz w:val="24"/>
                <w:szCs w:val="24"/>
              </w:rPr>
              <w:t>欧洲一体化的基本经济要素</w:t>
            </w:r>
          </w:p>
        </w:tc>
        <w:tc>
          <w:tcPr>
            <w:tcW w:w="5814" w:type="dxa"/>
            <w:vAlign w:val="center"/>
          </w:tcPr>
          <w:p>
            <w:pPr>
              <w:spacing w:after="0" w:line="240" w:lineRule="auto"/>
              <w:rPr>
                <w:rFonts w:ascii="Times New Roman" w:hAnsi="Times New Roman" w:eastAsia="仿宋" w:cs="Times New Roman"/>
                <w:sz w:val="24"/>
                <w:szCs w:val="24"/>
              </w:rPr>
            </w:pPr>
            <w:r>
              <w:rPr>
                <w:rFonts w:ascii="Times New Roman" w:hAnsi="Times New Roman" w:eastAsia="仿宋" w:cs="Times New Roman"/>
                <w:sz w:val="24"/>
                <w:szCs w:val="24"/>
              </w:rPr>
              <w:t>The steps of European economic integration. The impact of the global financial and economic crisis on the EU and the Eurozone. Competition regulation and the common trade policy of the EU.</w:t>
            </w:r>
          </w:p>
          <w:p>
            <w:pPr>
              <w:spacing w:after="0" w:line="240" w:lineRule="auto"/>
              <w:rPr>
                <w:rFonts w:ascii="仿宋" w:hAnsi="仿宋" w:eastAsia="仿宋"/>
                <w:sz w:val="24"/>
                <w:szCs w:val="24"/>
              </w:rPr>
            </w:pPr>
            <w:r>
              <w:rPr>
                <w:rFonts w:hint="eastAsia" w:ascii="仿宋" w:hAnsi="仿宋" w:eastAsia="仿宋"/>
                <w:sz w:val="24"/>
                <w:szCs w:val="24"/>
              </w:rPr>
              <w:t>全方位了解欧洲经济一体化进程、欧盟竞赛条例和通用贸易政策，与专家与学者一同解读经济全球化和经济危机对欧盟区与欧元区所产生的影响。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7" w:hRule="atLeast"/>
          <w:jc w:val="center"/>
        </w:trPr>
        <w:tc>
          <w:tcPr>
            <w:tcW w:w="3571" w:type="dxa"/>
            <w:vAlign w:val="center"/>
          </w:tcPr>
          <w:p>
            <w:pPr>
              <w:spacing w:after="0" w:line="24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Post-socialist transformation and EU accession in CEE</w:t>
            </w:r>
          </w:p>
          <w:p>
            <w:pPr>
              <w:spacing w:after="0" w:line="240" w:lineRule="auto"/>
              <w:jc w:val="center"/>
              <w:rPr>
                <w:rFonts w:ascii="仿宋" w:hAnsi="仿宋" w:eastAsia="仿宋"/>
                <w:sz w:val="24"/>
                <w:szCs w:val="24"/>
              </w:rPr>
            </w:pPr>
            <w:r>
              <w:rPr>
                <w:rFonts w:ascii="仿宋" w:hAnsi="仿宋" w:eastAsia="仿宋"/>
                <w:sz w:val="24"/>
                <w:szCs w:val="24"/>
              </w:rPr>
              <w:t>后社会主义阶段</w:t>
            </w:r>
            <w:r>
              <w:rPr>
                <w:rFonts w:hint="eastAsia" w:ascii="仿宋" w:hAnsi="仿宋" w:eastAsia="仿宋"/>
                <w:sz w:val="24"/>
                <w:szCs w:val="24"/>
              </w:rPr>
              <w:t>转型</w:t>
            </w:r>
            <w:r>
              <w:rPr>
                <w:rFonts w:ascii="仿宋" w:hAnsi="仿宋" w:eastAsia="仿宋"/>
                <w:sz w:val="24"/>
                <w:szCs w:val="24"/>
              </w:rPr>
              <w:t>、</w:t>
            </w:r>
            <w:r>
              <w:rPr>
                <w:rFonts w:hint="eastAsia" w:ascii="仿宋" w:hAnsi="仿宋" w:eastAsia="仿宋"/>
                <w:sz w:val="24"/>
                <w:szCs w:val="24"/>
              </w:rPr>
              <w:t>中东欧</w:t>
            </w:r>
            <w:r>
              <w:rPr>
                <w:rFonts w:ascii="仿宋" w:hAnsi="仿宋" w:eastAsia="仿宋"/>
                <w:sz w:val="24"/>
                <w:szCs w:val="24"/>
              </w:rPr>
              <w:t>国家与欧盟</w:t>
            </w:r>
          </w:p>
        </w:tc>
        <w:tc>
          <w:tcPr>
            <w:tcW w:w="5814" w:type="dxa"/>
            <w:vAlign w:val="center"/>
          </w:tcPr>
          <w:p>
            <w:pPr>
              <w:spacing w:after="0" w:line="240" w:lineRule="auto"/>
              <w:rPr>
                <w:rFonts w:ascii="Times New Roman" w:hAnsi="Times New Roman" w:eastAsia="仿宋" w:cs="Times New Roman"/>
                <w:sz w:val="24"/>
                <w:szCs w:val="24"/>
              </w:rPr>
            </w:pPr>
            <w:r>
              <w:rPr>
                <w:rFonts w:ascii="Times New Roman" w:hAnsi="Times New Roman" w:eastAsia="仿宋" w:cs="Times New Roman"/>
                <w:sz w:val="24"/>
                <w:szCs w:val="24"/>
              </w:rPr>
              <w:t>Socialist system and reform socialist models. Economic transition in CEE. The CEE model of capitalism. The impact of the 2008 global crisis on the CEE countries.</w:t>
            </w:r>
          </w:p>
          <w:p>
            <w:pPr>
              <w:spacing w:after="0" w:line="240" w:lineRule="auto"/>
              <w:rPr>
                <w:rFonts w:ascii="仿宋" w:hAnsi="仿宋" w:eastAsia="仿宋"/>
                <w:sz w:val="24"/>
                <w:szCs w:val="24"/>
              </w:rPr>
            </w:pPr>
            <w:r>
              <w:rPr>
                <w:rFonts w:hint="eastAsia" w:ascii="仿宋" w:hAnsi="仿宋" w:eastAsia="仿宋"/>
                <w:sz w:val="24"/>
                <w:szCs w:val="24"/>
              </w:rPr>
              <w:t>学生将通过学习与讨论，掌握社会主义体制与社会主义的变革模式，深入分析中东欧国家经济转型与资本主义模式，了解2008年全球金融危机对中东欧国家的影响。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2" w:hRule="atLeast"/>
          <w:jc w:val="center"/>
        </w:trPr>
        <w:tc>
          <w:tcPr>
            <w:tcW w:w="3571" w:type="dxa"/>
            <w:vAlign w:val="center"/>
          </w:tcPr>
          <w:p>
            <w:pPr>
              <w:spacing w:after="0" w:line="24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Foreign investments and multinationals in CEE</w:t>
            </w:r>
          </w:p>
          <w:p>
            <w:pPr>
              <w:spacing w:after="0" w:line="240" w:lineRule="auto"/>
              <w:jc w:val="center"/>
              <w:rPr>
                <w:rFonts w:ascii="仿宋" w:hAnsi="仿宋" w:eastAsia="仿宋"/>
                <w:sz w:val="24"/>
                <w:szCs w:val="24"/>
              </w:rPr>
            </w:pPr>
            <w:r>
              <w:rPr>
                <w:rFonts w:hint="eastAsia" w:ascii="仿宋" w:hAnsi="仿宋" w:eastAsia="仿宋"/>
                <w:sz w:val="24"/>
                <w:szCs w:val="24"/>
              </w:rPr>
              <w:t>中东欧</w:t>
            </w:r>
            <w:r>
              <w:rPr>
                <w:rFonts w:ascii="仿宋" w:hAnsi="仿宋" w:eastAsia="仿宋"/>
                <w:sz w:val="24"/>
                <w:szCs w:val="24"/>
              </w:rPr>
              <w:t>国家的外商投资与跨国企业</w:t>
            </w:r>
          </w:p>
        </w:tc>
        <w:tc>
          <w:tcPr>
            <w:tcW w:w="5814" w:type="dxa"/>
            <w:vAlign w:val="center"/>
          </w:tcPr>
          <w:p>
            <w:pPr>
              <w:spacing w:after="0" w:line="240" w:lineRule="auto"/>
              <w:rPr>
                <w:rFonts w:ascii="Times New Roman" w:hAnsi="Times New Roman" w:eastAsia="仿宋" w:cs="Times New Roman"/>
                <w:sz w:val="24"/>
                <w:szCs w:val="24"/>
              </w:rPr>
            </w:pPr>
            <w:r>
              <w:rPr>
                <w:rFonts w:ascii="Times New Roman" w:hAnsi="Times New Roman" w:eastAsia="仿宋" w:cs="Times New Roman"/>
                <w:sz w:val="24"/>
                <w:szCs w:val="24"/>
              </w:rPr>
              <w:t>Theories and forms of the internationalisation of firms. Data and information sources on export and FDI in CEE. Entry modes and strategies, economic policies in CEE.</w:t>
            </w:r>
          </w:p>
          <w:p>
            <w:pPr>
              <w:spacing w:after="0" w:line="240" w:lineRule="auto"/>
              <w:rPr>
                <w:rFonts w:ascii="仿宋" w:hAnsi="仿宋" w:eastAsia="仿宋"/>
                <w:sz w:val="24"/>
                <w:szCs w:val="24"/>
              </w:rPr>
            </w:pPr>
            <w:r>
              <w:rPr>
                <w:rFonts w:hint="eastAsia" w:ascii="仿宋" w:hAnsi="仿宋" w:eastAsia="仿宋"/>
                <w:sz w:val="24"/>
                <w:szCs w:val="24"/>
              </w:rPr>
              <w:t>学习企业国际化的理论与模式，了解中东欧国家外商直接投资与出口的数据与信息源，同时掌握中东欧国家的市场进入模式、策略和相关经济政策。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3571" w:type="dxa"/>
            <w:vAlign w:val="center"/>
          </w:tcPr>
          <w:p>
            <w:pPr>
              <w:spacing w:after="0" w:line="240" w:lineRule="auto"/>
              <w:jc w:val="center"/>
              <w:rPr>
                <w:rFonts w:ascii="Times New Roman" w:hAnsi="Times New Roman" w:eastAsia="仿宋" w:cs="Times New Roman"/>
                <w:sz w:val="24"/>
                <w:szCs w:val="24"/>
              </w:rPr>
            </w:pPr>
            <w:r>
              <w:rPr>
                <w:rFonts w:ascii="Times New Roman" w:hAnsi="Times New Roman" w:eastAsia="仿宋" w:cs="Times New Roman"/>
                <w:sz w:val="24"/>
                <w:szCs w:val="24"/>
              </w:rPr>
              <w:t>Business culture and negotiations in CEE</w:t>
            </w:r>
          </w:p>
          <w:p>
            <w:pPr>
              <w:spacing w:after="0" w:line="240" w:lineRule="auto"/>
              <w:jc w:val="center"/>
              <w:rPr>
                <w:rFonts w:ascii="仿宋" w:hAnsi="仿宋" w:eastAsia="仿宋"/>
                <w:sz w:val="24"/>
                <w:szCs w:val="24"/>
              </w:rPr>
            </w:pPr>
            <w:r>
              <w:rPr>
                <w:rFonts w:hint="eastAsia" w:ascii="仿宋" w:hAnsi="仿宋" w:eastAsia="仿宋"/>
                <w:sz w:val="24"/>
                <w:szCs w:val="24"/>
              </w:rPr>
              <w:t>中东欧</w:t>
            </w:r>
            <w:r>
              <w:rPr>
                <w:rFonts w:ascii="仿宋" w:hAnsi="仿宋" w:eastAsia="仿宋"/>
                <w:sz w:val="24"/>
                <w:szCs w:val="24"/>
              </w:rPr>
              <w:t>国家</w:t>
            </w:r>
            <w:r>
              <w:rPr>
                <w:rFonts w:hint="eastAsia" w:ascii="仿宋" w:hAnsi="仿宋" w:eastAsia="仿宋"/>
                <w:sz w:val="24"/>
                <w:szCs w:val="24"/>
              </w:rPr>
              <w:t>商业</w:t>
            </w:r>
            <w:r>
              <w:rPr>
                <w:rFonts w:ascii="仿宋" w:hAnsi="仿宋" w:eastAsia="仿宋"/>
                <w:sz w:val="24"/>
                <w:szCs w:val="24"/>
              </w:rPr>
              <w:t>文化与谈判技巧</w:t>
            </w:r>
          </w:p>
        </w:tc>
        <w:tc>
          <w:tcPr>
            <w:tcW w:w="5814" w:type="dxa"/>
            <w:vAlign w:val="center"/>
          </w:tcPr>
          <w:p>
            <w:pPr>
              <w:spacing w:after="0" w:line="240" w:lineRule="auto"/>
              <w:rPr>
                <w:rFonts w:ascii="Times New Roman" w:hAnsi="Times New Roman" w:eastAsia="仿宋" w:cs="Times New Roman"/>
                <w:sz w:val="24"/>
                <w:szCs w:val="24"/>
              </w:rPr>
            </w:pPr>
            <w:r>
              <w:rPr>
                <w:rFonts w:ascii="Times New Roman" w:hAnsi="Times New Roman" w:eastAsia="仿宋" w:cs="Times New Roman"/>
                <w:sz w:val="24"/>
                <w:szCs w:val="24"/>
              </w:rPr>
              <w:t>Verbal and non-verbal communication; negotiation culture and techniques – theories and their realisations in CEE countries.</w:t>
            </w:r>
          </w:p>
          <w:p>
            <w:pPr>
              <w:spacing w:after="0" w:line="240" w:lineRule="auto"/>
              <w:rPr>
                <w:rFonts w:ascii="仿宋" w:hAnsi="仿宋" w:eastAsia="仿宋"/>
                <w:sz w:val="24"/>
                <w:szCs w:val="24"/>
              </w:rPr>
            </w:pPr>
            <w:r>
              <w:rPr>
                <w:rFonts w:hint="eastAsia" w:ascii="仿宋" w:hAnsi="仿宋" w:eastAsia="仿宋"/>
                <w:sz w:val="24"/>
                <w:szCs w:val="24"/>
              </w:rPr>
              <w:t xml:space="preserve">学习商业谈判中的言语与非言语交际模式与策略，了解中东欧国家的商业谈判文化与惯例。 </w:t>
            </w:r>
            <w:r>
              <w:rPr>
                <w:rFonts w:ascii="仿宋" w:hAnsi="仿宋" w:eastAsia="仿宋"/>
                <w:sz w:val="24"/>
                <w:szCs w:val="24"/>
              </w:rPr>
              <w:t xml:space="preserve"> </w:t>
            </w:r>
          </w:p>
        </w:tc>
      </w:tr>
    </w:tbl>
    <w:p>
      <w:pPr>
        <w:rPr>
          <w:b/>
          <w:sz w:val="24"/>
          <w:szCs w:val="24"/>
        </w:rPr>
      </w:pP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16" w:usb3="00000000" w:csb0="0004000F" w:csb1="00000000"/>
  </w:font>
  <w:font w:name="DengXian">
    <w:altName w:val="宋体"/>
    <w:panose1 w:val="00000000000000000000"/>
    <w:charset w:val="86"/>
    <w:family w:val="auto"/>
    <w:pitch w:val="default"/>
    <w:sig w:usb0="00000000" w:usb1="00000000" w:usb2="00000000" w:usb3="00000000" w:csb0="00000000" w:csb1="00000000"/>
  </w:font>
  <w:font w:name="DengXian">
    <w:altName w:val="Courier New"/>
    <w:panose1 w:val="00000000000000000000"/>
    <w:charset w:val="00"/>
    <w:family w:val="auto"/>
    <w:pitch w:val="default"/>
    <w:sig w:usb0="00000000" w:usb1="00000000" w:usb2="00000000" w:usb3="00000000" w:csb0="00000000" w:csb1="00000000"/>
  </w:font>
  <w:font w:name="DengXian Light">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AFF" w:usb1="C0007843" w:usb2="00000009" w:usb3="00000000" w:csb0="400001FF" w:csb1="FFFF0000"/>
  </w:font>
  <w:font w:name="DengXian Light">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63"/>
    <w:rsid w:val="002F21D0"/>
    <w:rsid w:val="003844A2"/>
    <w:rsid w:val="00504B20"/>
    <w:rsid w:val="00A14F47"/>
    <w:rsid w:val="00C85A3A"/>
    <w:rsid w:val="00E26B1E"/>
    <w:rsid w:val="00EE1163"/>
    <w:rsid w:val="00F86AE2"/>
    <w:rsid w:val="574F3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52" w:lineRule="auto"/>
    </w:pPr>
    <w:rPr>
      <w:rFonts w:asciiTheme="majorHAnsi" w:hAnsiTheme="majorHAnsi" w:eastAsiaTheme="majorEastAsia" w:cstheme="majorBidi"/>
      <w:kern w:val="0"/>
      <w:sz w:val="22"/>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table" w:styleId="3">
    <w:name w:val="Table Grid"/>
    <w:basedOn w:val="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335</Words>
  <Characters>1915</Characters>
  <Lines>15</Lines>
  <Paragraphs>4</Paragraphs>
  <TotalTime>3</TotalTime>
  <ScaleCrop>false</ScaleCrop>
  <LinksUpToDate>false</LinksUpToDate>
  <CharactersWithSpaces>2246</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2019-03-11T06:14:00Z</dcterms:created>
  <dc:creator>RITA YANG</dc:creator>
  <cp:lastModifiedBy>Administrator</cp:lastModifiedBy>
  <dcterms:modified xsi:type="dcterms:W3CDTF">2019-04-24T07:03:53Z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